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78512FB3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Revision</w:t>
      </w:r>
      <w:proofErr w:type="spellEnd"/>
      <w:r w:rsidRPr="00056751">
        <w:rPr>
          <w:rFonts w:cs="Tahoma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history</w:t>
      </w:r>
      <w:proofErr w:type="spellEnd"/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2239B5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005EC7" w14:textId="77777777" w:rsidR="00872ADF" w:rsidRPr="00B72839" w:rsidRDefault="00872ADF" w:rsidP="0095066B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40B9B5" w14:textId="763FB7A7" w:rsidR="00872ADF" w:rsidRPr="00B72839" w:rsidRDefault="002B4A1A" w:rsidP="00F3049C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211E2F" w14:textId="249B8762" w:rsidR="00872ADF" w:rsidRPr="00B72839" w:rsidRDefault="00872ADF" w:rsidP="00872AD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8FCB37" w14:textId="77777777" w:rsidR="00872ADF" w:rsidRPr="00B72839" w:rsidRDefault="00872ADF" w:rsidP="0095066B">
            <w:pPr>
              <w:pStyle w:val="TableText"/>
              <w:spacing w:before="120"/>
              <w:rPr>
                <w:rFonts w:cs="Tahoma"/>
              </w:rPr>
            </w:pPr>
            <w:r w:rsidRPr="00B72839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73C42A" w14:textId="77777777" w:rsidR="00872ADF" w:rsidRPr="00B72839" w:rsidRDefault="00872ADF" w:rsidP="0095066B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  <w:tr w:rsidR="002239B5" w:rsidRPr="00B72839" w14:paraId="48E8AAEB" w14:textId="77777777" w:rsidTr="002239B5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51EAE1" w14:textId="20F1E785" w:rsidR="002239B5" w:rsidRPr="00B72839" w:rsidRDefault="002239B5" w:rsidP="002239B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AC7381" w14:textId="11C3566E" w:rsidR="002239B5" w:rsidRDefault="00973FAD" w:rsidP="002239B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22</w:t>
            </w:r>
            <w:r w:rsidR="002239B5">
              <w:rPr>
                <w:rFonts w:cs="Tahoma"/>
                <w:i w:val="0"/>
                <w:iCs w:val="0"/>
              </w:rPr>
              <w:t xml:space="preserve"> March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D81DCB" w14:textId="57888C57" w:rsidR="002239B5" w:rsidRPr="00B72839" w:rsidRDefault="002239B5" w:rsidP="002239B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FBBDF4" w14:textId="52D1E2C3" w:rsidR="002239B5" w:rsidRPr="00B72839" w:rsidRDefault="00C55766" w:rsidP="002239B5">
            <w:pPr>
              <w:pStyle w:val="TableText"/>
              <w:spacing w:before="120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Second</w:t>
            </w:r>
            <w:r w:rsidR="002239B5">
              <w:rPr>
                <w:rFonts w:cs="Tahoma"/>
                <w:color w:val="000000" w:themeColor="text1"/>
              </w:rPr>
              <w:t xml:space="preserve"> version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7B2FEE1" w14:textId="488A1865" w:rsidR="002239B5" w:rsidRPr="00B72839" w:rsidRDefault="002239B5" w:rsidP="002239B5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08952F56" w14:textId="77777777" w:rsidR="0075091F" w:rsidRPr="0075091F" w:rsidRDefault="0075091F" w:rsidP="0075091F">
      <w:pPr>
        <w:rPr>
          <w:lang w:eastAsia="x-none" w:bidi="ar-SA"/>
        </w:rPr>
      </w:pPr>
    </w:p>
    <w:p w14:paraId="5E45B0C2" w14:textId="77777777" w:rsidR="0075091F" w:rsidRPr="0075091F" w:rsidRDefault="0075091F" w:rsidP="0075091F">
      <w:pPr>
        <w:rPr>
          <w:lang w:eastAsia="x-none" w:bidi="ar-SA"/>
        </w:rPr>
      </w:pPr>
    </w:p>
    <w:p w14:paraId="329AFD5C" w14:textId="77777777" w:rsidR="0075091F" w:rsidRPr="0075091F" w:rsidRDefault="0075091F" w:rsidP="0075091F">
      <w:pPr>
        <w:rPr>
          <w:lang w:eastAsia="x-none" w:bidi="ar-SA"/>
        </w:rPr>
      </w:pPr>
    </w:p>
    <w:p w14:paraId="7EF68810" w14:textId="77777777" w:rsidR="0075091F" w:rsidRPr="0075091F" w:rsidRDefault="0075091F" w:rsidP="0075091F">
      <w:pPr>
        <w:rPr>
          <w:lang w:eastAsia="x-none" w:bidi="ar-SA"/>
        </w:rPr>
      </w:pPr>
    </w:p>
    <w:p w14:paraId="52CEBF41" w14:textId="77777777" w:rsidR="0075091F" w:rsidRPr="0075091F" w:rsidRDefault="0075091F" w:rsidP="0075091F">
      <w:pPr>
        <w:rPr>
          <w:lang w:eastAsia="x-none" w:bidi="ar-SA"/>
        </w:rPr>
      </w:pPr>
    </w:p>
    <w:p w14:paraId="751F854B" w14:textId="77777777"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187DCA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20F0B2BF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4146677" w:history="1">
            <w:r w:rsidRPr="00ED6D09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CVA Counterparty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_Toc4146677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rStyle w:val="Hyperlink"/>
              </w:rPr>
              <w:fldChar w:fldCharType="end"/>
            </w:r>
          </w:hyperlink>
        </w:p>
        <w:p w14:paraId="4D060C13" w14:textId="6532930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78" w:history="1">
            <w:r w:rsidRPr="00ED6D09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Greek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_Toc4146678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rStyle w:val="Hyperlink"/>
              </w:rPr>
              <w:fldChar w:fldCharType="end"/>
            </w:r>
          </w:hyperlink>
        </w:p>
        <w:p w14:paraId="7C0A01B3" w14:textId="77777777" w:rsidR="000D1106" w:rsidRP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000000" w:themeColor="text1"/>
              <w:sz w:val="22"/>
              <w:szCs w:val="28"/>
            </w:rPr>
          </w:pPr>
          <w:hyperlink w:anchor="_Toc4146679" w:history="1">
            <w:r w:rsidRPr="000D1106">
              <w:rPr>
                <w:rStyle w:val="Hyperlink"/>
                <w:color w:val="000000" w:themeColor="text1"/>
              </w:rPr>
              <w:t>3.</w:t>
            </w:r>
            <w:r w:rsidRPr="000D110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000000" w:themeColor="text1"/>
                <w:sz w:val="22"/>
                <w:szCs w:val="28"/>
              </w:rPr>
              <w:tab/>
            </w:r>
            <w:r w:rsidRPr="000D1106">
              <w:rPr>
                <w:rStyle w:val="Hyperlink"/>
                <w:color w:val="000000" w:themeColor="text1"/>
              </w:rPr>
              <w:t>Indicator</w:t>
            </w:r>
            <w:r w:rsidRPr="000D1106">
              <w:rPr>
                <w:webHidden/>
                <w:color w:val="000000" w:themeColor="text1"/>
              </w:rPr>
              <w:tab/>
            </w:r>
            <w:r w:rsidRPr="000D1106">
              <w:rPr>
                <w:rStyle w:val="Hyperlink"/>
                <w:color w:val="000000" w:themeColor="text1"/>
              </w:rPr>
              <w:fldChar w:fldCharType="begin"/>
            </w:r>
            <w:r w:rsidRPr="000D1106">
              <w:rPr>
                <w:webHidden/>
                <w:color w:val="000000" w:themeColor="text1"/>
              </w:rPr>
              <w:instrText xml:space="preserve"> PAGEREF _Toc4146679 \h </w:instrText>
            </w:r>
            <w:r w:rsidRPr="000D1106">
              <w:rPr>
                <w:rStyle w:val="Hyperlink"/>
                <w:color w:val="000000" w:themeColor="text1"/>
              </w:rPr>
            </w:r>
            <w:r w:rsidRPr="000D1106">
              <w:rPr>
                <w:rStyle w:val="Hyperlink"/>
                <w:color w:val="000000" w:themeColor="text1"/>
              </w:rPr>
              <w:fldChar w:fldCharType="separate"/>
            </w:r>
            <w:r w:rsidRPr="000D1106">
              <w:rPr>
                <w:webHidden/>
                <w:color w:val="000000" w:themeColor="text1"/>
              </w:rPr>
              <w:t>6</w:t>
            </w:r>
            <w:r w:rsidRPr="000D1106">
              <w:rPr>
                <w:rStyle w:val="Hyperlink"/>
                <w:color w:val="000000" w:themeColor="text1"/>
              </w:rPr>
              <w:fldChar w:fldCharType="end"/>
            </w:r>
          </w:hyperlink>
        </w:p>
        <w:p w14:paraId="26F03733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0" w:history="1">
            <w:r w:rsidRPr="00ED6D09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IR Curve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_Toc4146680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rStyle w:val="Hyperlink"/>
              </w:rPr>
              <w:fldChar w:fldCharType="end"/>
            </w:r>
          </w:hyperlink>
        </w:p>
        <w:p w14:paraId="68826D13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1" w:history="1">
            <w:r w:rsidRPr="00ED6D09">
              <w:rPr>
                <w:rStyle w:val="Hyperlink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Market Risk Factor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_Toc4146681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rStyle w:val="Hyperlink"/>
              </w:rPr>
              <w:fldChar w:fldCharType="end"/>
            </w:r>
          </w:hyperlink>
        </w:p>
        <w:p w14:paraId="6E9F7207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2" w:history="1">
            <w:r w:rsidRPr="00ED6D09">
              <w:rPr>
                <w:rStyle w:val="Hyperlink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Risk Value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_Toc4146682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rStyle w:val="Hyperlink"/>
              </w:rPr>
              <w:fldChar w:fldCharType="end"/>
            </w:r>
          </w:hyperlink>
        </w:p>
        <w:p w14:paraId="75E6679B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3" w:history="1">
            <w:r w:rsidRPr="00ED6D09">
              <w:rPr>
                <w:rStyle w:val="Hyperlink"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Target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_Toc4146683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rStyle w:val="Hyperlink"/>
              </w:rPr>
              <w:fldChar w:fldCharType="end"/>
            </w:r>
          </w:hyperlink>
        </w:p>
        <w:p w14:paraId="2321A942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4" w:history="1">
            <w:r w:rsidRPr="00ED6D09">
              <w:rPr>
                <w:rStyle w:val="Hyperlink"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VaR Approach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_Toc4146684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rStyle w:val="Hyperlink"/>
              </w:rPr>
              <w:fldChar w:fldCharType="end"/>
            </w:r>
          </w:hyperlink>
        </w:p>
        <w:p w14:paraId="5D671DDE" w14:textId="77777777" w:rsidR="000D1106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4146685" w:history="1">
            <w:r w:rsidRPr="00ED6D09">
              <w:rPr>
                <w:rStyle w:val="Hyperlink"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Pr="00ED6D09">
              <w:rPr>
                <w:rStyle w:val="Hyperlink"/>
              </w:rPr>
              <w:t>VaR Type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_Toc4146685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rStyle w:val="Hyperlink"/>
              </w:rPr>
              <w:fldChar w:fldCharType="end"/>
            </w:r>
          </w:hyperlink>
        </w:p>
        <w:p w14:paraId="0A30317C" w14:textId="1B4CBCFA" w:rsidR="00A656F6" w:rsidRPr="001D272D" w:rsidRDefault="000D1106" w:rsidP="000108A0">
          <w:r>
            <w:rPr>
              <w:b/>
              <w:bCs/>
              <w:caps/>
              <w:noProof/>
              <w:color w:val="0000FF"/>
            </w:rPr>
            <w:fldChar w:fldCharType="end"/>
          </w:r>
        </w:p>
      </w:sdtContent>
    </w:sdt>
    <w:p w14:paraId="05A14595" w14:textId="70AA1004" w:rsidR="00056751" w:rsidRDefault="00056751">
      <w:bookmarkStart w:id="0" w:name="_GoBack"/>
      <w:bookmarkEnd w:id="0"/>
    </w:p>
    <w:p w14:paraId="33F10CD8" w14:textId="77777777" w:rsidR="001D272D" w:rsidRDefault="001D272D">
      <w:pPr>
        <w:rPr>
          <w:rFonts w:hint="cs"/>
          <w:cs/>
        </w:rPr>
      </w:pPr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05B74A0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597E35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B9C09" w14:textId="481C3E5F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" w:name="_Toc536175080"/>
            <w:bookmarkStart w:id="2" w:name="_Toc964901"/>
            <w:bookmarkStart w:id="3" w:name="_Toc3224257"/>
            <w:bookmarkStart w:id="4" w:name="_Toc4146677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CVA Counterparty Type</w:t>
            </w:r>
            <w:bookmarkEnd w:id="1"/>
            <w:bookmarkEnd w:id="2"/>
            <w:bookmarkEnd w:id="3"/>
            <w:bookmarkEnd w:id="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ADC495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F95F891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CCB8D0B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76D8F5F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121E7EF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2AECD079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EDB4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and Central Banks (SA)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600001" w14:textId="58F52D21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rFonts w:hint="cs"/>
                <w:color w:val="0000FF"/>
                <w:cs/>
              </w:rPr>
              <w:t xml:space="preserve">ลูกหนี้รัฐบาลไทย และธนาคารแห่งประเทศไทย รวมถึง </w:t>
            </w:r>
            <w:r w:rsidRPr="002239B5">
              <w:rPr>
                <w:color w:val="0000FF"/>
              </w:rPr>
              <w:t xml:space="preserve">FIDF, DPA, </w:t>
            </w:r>
            <w:r w:rsidRPr="002239B5">
              <w:rPr>
                <w:rFonts w:hint="cs"/>
                <w:color w:val="0000FF"/>
                <w:cs/>
              </w:rPr>
              <w:t>ลูกหนี้ภาครัฐบาล และธนาคารกลางของต่างประเทศ</w:t>
            </w:r>
            <w:r w:rsidR="00C55766">
              <w:rPr>
                <w:rFonts w:hint="cs"/>
                <w:color w:val="0000FF"/>
                <w:cs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3AEF4B74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068EF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Local Government Organizations, State Agencies and State Enterprises (SA)</w:t>
            </w:r>
          </w:p>
        </w:tc>
        <w:tc>
          <w:tcPr>
            <w:tcW w:w="720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A69D59" w14:textId="50D1201B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ลูกหนี้องค์กรปกครองส่วนท้องถิ่น องค์การของรัฐ และรัฐวิสาหกิจ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35842AEF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E7F1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Multilateral Development Banks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CED9BE" w14:textId="01C992D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ลูกหนี้ธนาคารเพื่อการพัฒนาระหว่างประเทศ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5F46833A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6FF5A8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2FF7EA" w14:textId="2D12EC3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4E424329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25434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Securities Companies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391DFC4" w14:textId="49FCD6F8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ลูกหนี้บริษัทหลักทรัพย์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56C3C314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17576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801C20" w14:textId="03CFC289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ลูกหนี้เอกชน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437E23FE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1FACBC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32734C" w14:textId="5466BE76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2239B5" w:rsidRPr="002239B5" w14:paraId="16660F37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37AB0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A81623" w14:textId="04A593A8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ลูกหนี้ภาครัฐบาล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2239B5" w:rsidRPr="002239B5" w14:paraId="039DE882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6263E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A08F15" w14:textId="5F1E3EE3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2239B5" w:rsidRPr="002239B5" w14:paraId="0FF30CFB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ED6877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CD81A3" w14:textId="265F86C6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ลูกหนี้ธุรกิจเอกชน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2239B5" w:rsidRPr="002239B5" w14:paraId="01D16180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A45A69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4CB8A" w14:textId="39C21A85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 w:rsidR="00C55766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</w:tbl>
    <w:p w14:paraId="12B088AE" w14:textId="431A99A5" w:rsidR="002239B5" w:rsidRPr="002239B5" w:rsidRDefault="002239B5" w:rsidP="002B26CB">
      <w:pPr>
        <w:spacing w:before="240"/>
        <w:rPr>
          <w:rFonts w:eastAsia="Calibri"/>
          <w:color w:val="0000FF"/>
        </w:rPr>
      </w:pPr>
      <w:r w:rsidRPr="002239B5">
        <w:rPr>
          <w:rFonts w:eastAsia="Calibri"/>
          <w:color w:val="0000FF"/>
          <w:cs/>
        </w:rPr>
        <w:t>หมายเหตุ</w:t>
      </w:r>
      <w:r w:rsidR="00801C86">
        <w:rPr>
          <w:rFonts w:eastAsia="Calibri"/>
          <w:color w:val="0000FF"/>
        </w:rPr>
        <w:t>:</w:t>
      </w:r>
    </w:p>
    <w:p w14:paraId="19782540" w14:textId="77777777" w:rsidR="002239B5" w:rsidRPr="002239B5" w:rsidRDefault="002239B5" w:rsidP="002239B5">
      <w:pPr>
        <w:spacing w:before="120"/>
        <w:rPr>
          <w:rFonts w:eastAsia="Calibri"/>
          <w:color w:val="0000FF"/>
          <w:cs/>
        </w:rPr>
      </w:pPr>
      <w:r w:rsidRPr="00801C86">
        <w:rPr>
          <w:rFonts w:eastAsia="Calibri"/>
          <w:color w:val="0000FF"/>
          <w:vertAlign w:val="superscript"/>
        </w:rPr>
        <w:t>1/</w:t>
      </w:r>
      <w:r w:rsidRPr="002239B5">
        <w:rPr>
          <w:rFonts w:eastAsia="Calibri"/>
          <w:color w:val="0000FF"/>
        </w:rPr>
        <w:t xml:space="preserve"> </w:t>
      </w:r>
      <w:r w:rsidRPr="002239B5">
        <w:rPr>
          <w:rFonts w:eastAsia="Calibri" w:hint="cs"/>
          <w:color w:val="0000FF"/>
          <w:cs/>
        </w:rPr>
        <w:t>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proofErr w:type="spellStart"/>
      <w:r w:rsidRPr="002239B5">
        <w:rPr>
          <w:rFonts w:eastAsia="Calibri"/>
          <w:color w:val="0000FF"/>
        </w:rPr>
        <w:t>Standardised</w:t>
      </w:r>
      <w:proofErr w:type="spellEnd"/>
      <w:r w:rsidRPr="002239B5">
        <w:rPr>
          <w:rFonts w:eastAsia="Calibri"/>
          <w:color w:val="0000FF"/>
        </w:rPr>
        <w:t xml:space="preserve">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SA)</w:t>
      </w:r>
    </w:p>
    <w:p w14:paraId="3139B7E8" w14:textId="77777777" w:rsidR="002239B5" w:rsidRPr="002239B5" w:rsidRDefault="002239B5" w:rsidP="002239B5">
      <w:pPr>
        <w:spacing w:before="120"/>
        <w:rPr>
          <w:rFonts w:eastAsia="Calibri"/>
          <w:color w:val="0000FF"/>
          <w:cs/>
        </w:rPr>
      </w:pPr>
      <w:r w:rsidRPr="00801C86">
        <w:rPr>
          <w:rFonts w:eastAsia="Calibri"/>
          <w:color w:val="0000FF"/>
          <w:vertAlign w:val="superscript"/>
        </w:rPr>
        <w:t>2</w:t>
      </w:r>
      <w:r w:rsidRPr="00801C86">
        <w:rPr>
          <w:rFonts w:eastAsia="Calibri" w:hint="cs"/>
          <w:color w:val="0000FF"/>
          <w:vertAlign w:val="superscript"/>
          <w:cs/>
        </w:rPr>
        <w:t>/</w:t>
      </w:r>
      <w:r w:rsidRPr="002239B5">
        <w:rPr>
          <w:rFonts w:eastAsia="Calibri" w:hint="cs"/>
          <w:color w:val="0000FF"/>
          <w:cs/>
        </w:rPr>
        <w:t xml:space="preserve"> 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2239B5">
        <w:rPr>
          <w:rFonts w:eastAsia="Calibri"/>
          <w:color w:val="0000FF"/>
        </w:rPr>
        <w:t>Internal Ratings-Based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IRB)</w:t>
      </w:r>
    </w:p>
    <w:p w14:paraId="7622D7FF" w14:textId="31113BE5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076346" w14:textId="77777777" w:rsidTr="00894F2F">
        <w:trPr>
          <w:cantSplit/>
          <w:trHeight w:val="26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51D4C9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D1462" w14:textId="239849EA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5" w:name="_Toc536175078"/>
            <w:bookmarkStart w:id="6" w:name="_Toc964899"/>
            <w:bookmarkStart w:id="7" w:name="_Toc3224258"/>
            <w:bookmarkStart w:id="8" w:name="_Toc4146678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Greek Type</w:t>
            </w:r>
            <w:bookmarkEnd w:id="5"/>
            <w:bookmarkEnd w:id="6"/>
            <w:bookmarkEnd w:id="7"/>
            <w:bookmarkEnd w:id="8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3ECFD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F786B9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5D1908D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9C3833F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8F0578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3BBDB890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367C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Delta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D064F4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  <w:cs/>
              </w:rPr>
            </w:pPr>
            <w:r w:rsidRPr="002239B5">
              <w:rPr>
                <w:rFonts w:hint="cs"/>
                <w:color w:val="0000FF"/>
                <w:cs/>
              </w:rPr>
              <w:t xml:space="preserve">มูลค่าธุรกรรมในบัญชีเพื่อค้าทั้ง </w:t>
            </w:r>
            <w:r w:rsidRPr="002239B5">
              <w:rPr>
                <w:color w:val="0000FF"/>
              </w:rPr>
              <w:t xml:space="preserve">Derivative </w:t>
            </w:r>
            <w:r w:rsidRPr="002239B5">
              <w:rPr>
                <w:rFonts w:hint="cs"/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 xml:space="preserve">Non-Derivative </w:t>
            </w:r>
            <w:r w:rsidRPr="002239B5">
              <w:rPr>
                <w:color w:val="0000FF"/>
                <w:cs/>
              </w:rPr>
              <w:t>ที่เปลี่ยนแปลง</w:t>
            </w:r>
            <w:r w:rsidRPr="002239B5">
              <w:rPr>
                <w:color w:val="0000FF"/>
              </w:rPr>
              <w:t xml:space="preserve"> </w:t>
            </w:r>
            <w:r w:rsidRPr="002239B5">
              <w:rPr>
                <w:rFonts w:hint="cs"/>
                <w:color w:val="0000FF"/>
                <w:cs/>
              </w:rPr>
              <w:t xml:space="preserve">เมื่อราคา </w:t>
            </w:r>
            <w:r w:rsidRPr="002239B5">
              <w:rPr>
                <w:color w:val="0000FF"/>
              </w:rPr>
              <w:t xml:space="preserve">Underlying </w:t>
            </w:r>
            <w:r w:rsidRPr="002239B5">
              <w:rPr>
                <w:rFonts w:hint="cs"/>
                <w:color w:val="0000FF"/>
                <w:cs/>
              </w:rPr>
              <w:t>เปลี่ยนแปลงไป</w:t>
            </w:r>
          </w:p>
        </w:tc>
      </w:tr>
      <w:tr w:rsidR="002239B5" w:rsidRPr="002239B5" w14:paraId="7C864C2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85E309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Vega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A3D1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มูลค่าธุรกรรม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Option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ในบัญชีเพื่อค้า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ที่เปลี่ยนแปลง เมื่อ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ความผันผวน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(Implied volatility)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Underlying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เปลี่ยนแปลงไป</w:t>
            </w:r>
          </w:p>
        </w:tc>
      </w:tr>
    </w:tbl>
    <w:p w14:paraId="4D8DF2BD" w14:textId="313CA634" w:rsidR="002239B5" w:rsidRDefault="002239B5"/>
    <w:p w14:paraId="7EC0E816" w14:textId="77777777" w:rsidR="002239B5" w:rsidRDefault="002239B5">
      <w:r>
        <w:br w:type="page"/>
      </w:r>
    </w:p>
    <w:p w14:paraId="3B7FCF33" w14:textId="77777777" w:rsidR="002239B5" w:rsidRDefault="002239B5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D032D7" w:rsidRPr="00085B0E" w14:paraId="5346D784" w14:textId="77777777" w:rsidTr="0069724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BACFA" w14:textId="297A2298" w:rsidR="00D032D7" w:rsidRPr="00085B0E" w:rsidRDefault="00D032D7" w:rsidP="00697248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17CAA3" w14:textId="25CDB6C9" w:rsidR="00D032D7" w:rsidRPr="00085B0E" w:rsidRDefault="00D032D7" w:rsidP="00697248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967229"/>
            <w:bookmarkStart w:id="10" w:name="_Toc4146679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Indicator</w:t>
            </w:r>
            <w:bookmarkEnd w:id="9"/>
            <w:bookmarkEnd w:id="1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5A48E" w14:textId="77777777" w:rsidR="00D032D7" w:rsidRPr="00085B0E" w:rsidRDefault="00D032D7" w:rsidP="0069724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C6CD6D" w14:textId="77777777" w:rsidR="00D032D7" w:rsidRPr="00B14489" w:rsidRDefault="00D032D7" w:rsidP="00D032D7">
      <w:pPr>
        <w:rPr>
          <w:color w:val="000000" w:themeColor="text1"/>
        </w:rPr>
      </w:pPr>
    </w:p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D032D7" w:rsidRPr="00050950" w14:paraId="740C1094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C3ACB5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5C57AFD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032D7" w:rsidRPr="00050950" w14:paraId="1518EA3C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E4E159" w14:textId="77777777" w:rsidR="00D032D7" w:rsidRPr="00085B0E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A5D63F" w14:textId="119EE4C0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D032D7" w:rsidRPr="00050950" w14:paraId="797634D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EADE0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15F6A" w14:textId="17BA48E2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LCR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B9EE3B2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69D1C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561636" w14:textId="608AC33E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NFSR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EFD210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1E17C" w14:textId="77777777" w:rsidR="00D032D7" w:rsidRPr="00812405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FFE7" w14:textId="467103C1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D032D7" w:rsidRPr="00050950" w14:paraId="68C1E01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E9CB49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Top </w:t>
            </w:r>
            <w:r w:rsidRPr="0099021D">
              <w:rPr>
                <w:rFonts w:cs="Tahoma"/>
                <w:color w:val="000000" w:themeColor="text1"/>
                <w:cs/>
                <w:lang w:val="en-US" w:eastAsia="en-US"/>
              </w:rPr>
              <w:t xml:space="preserve">20 </w:t>
            </w:r>
            <w:r w:rsidRPr="0099021D">
              <w:rPr>
                <w:rFonts w:cs="Tahoma"/>
                <w:color w:val="000000" w:themeColor="text1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F6A26C" w14:textId="284EE5A6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Top 20 Funding / Total Funding </w:t>
            </w:r>
            <w:r w:rsidRPr="0099021D">
              <w:rPr>
                <w:color w:val="000000" w:themeColor="text1"/>
                <w:cs/>
              </w:rPr>
              <w:t>ตามคำจำกัดความของสถาบันการเงิน</w:t>
            </w:r>
          </w:p>
        </w:tc>
      </w:tr>
      <w:tr w:rsidR="00D032D7" w:rsidRPr="00050950" w14:paraId="6419FAEF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BE26BF" w14:textId="1832B352" w:rsidR="00D032D7" w:rsidRPr="00C42038" w:rsidRDefault="00C21284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1522A" w14:textId="77777777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Contractual Gap </w:t>
            </w:r>
            <w:r w:rsidRPr="0099021D">
              <w:rPr>
                <w:color w:val="000000" w:themeColor="text1"/>
                <w:cs/>
              </w:rPr>
              <w:t xml:space="preserve">สะสมที่มีระยะเวลาน้อยกว่าหรือเท่ากับ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  <w:tr w:rsidR="00D032D7" w:rsidRPr="00050950" w14:paraId="542EEF2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3BC8F52" w14:textId="25830CCC" w:rsidR="00D032D7" w:rsidRPr="00C42038" w:rsidRDefault="00C21284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3173B" w14:textId="1F52F7BB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Behavior Gap </w:t>
            </w:r>
            <w:r w:rsidRPr="0099021D">
              <w:rPr>
                <w:color w:val="000000" w:themeColor="text1"/>
                <w:cs/>
              </w:rPr>
              <w:t>สะสม</w:t>
            </w:r>
            <w:r w:rsidR="0083274A">
              <w:rPr>
                <w:rFonts w:hint="cs"/>
                <w:color w:val="000000" w:themeColor="text1"/>
                <w:cs/>
              </w:rPr>
              <w:t>ที่</w:t>
            </w:r>
            <w:r w:rsidRPr="0099021D">
              <w:rPr>
                <w:color w:val="000000" w:themeColor="text1"/>
                <w:cs/>
              </w:rPr>
              <w:t xml:space="preserve">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</w:tbl>
    <w:p w14:paraId="16C374F1" w14:textId="6977740B" w:rsidR="00D032D7" w:rsidRDefault="00D032D7"/>
    <w:p w14:paraId="403A1F13" w14:textId="4B7F9295" w:rsidR="002239B5" w:rsidRDefault="00D032D7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0FA285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E022F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6AE0D" w14:textId="2F68A61E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1" w:name="_Toc536175079"/>
            <w:bookmarkStart w:id="12" w:name="_Toc964900"/>
            <w:bookmarkStart w:id="13" w:name="_Toc3224259"/>
            <w:bookmarkStart w:id="14" w:name="_Toc4146680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IR Curve</w:t>
            </w:r>
            <w:bookmarkEnd w:id="11"/>
            <w:bookmarkEnd w:id="12"/>
            <w:bookmarkEnd w:id="13"/>
            <w:bookmarkEnd w:id="1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1FEE8F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0DA6F2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0A184C4D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6E6224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5BDB6BC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27C89EDC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33DF24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Swap Curve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04589F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</w:rPr>
              <w:t xml:space="preserve">Curve </w:t>
            </w:r>
            <w:r w:rsidRPr="002239B5">
              <w:rPr>
                <w:color w:val="0000FF"/>
                <w:cs/>
              </w:rPr>
              <w:t xml:space="preserve">หลักที่ใช้หา </w:t>
            </w:r>
            <w:r w:rsidRPr="002239B5">
              <w:rPr>
                <w:color w:val="0000FF"/>
              </w:rPr>
              <w:t xml:space="preserve">IR Sensitivity </w:t>
            </w:r>
            <w:r w:rsidRPr="002239B5">
              <w:rPr>
                <w:color w:val="0000FF"/>
                <w:cs/>
              </w:rPr>
              <w:t>ของ</w:t>
            </w:r>
            <w:r w:rsidRPr="002239B5">
              <w:rPr>
                <w:rFonts w:hint="cs"/>
                <w:color w:val="0000FF"/>
                <w:cs/>
              </w:rPr>
              <w:t>ธุรกรรม เช่น</w:t>
            </w:r>
            <w:r w:rsidRPr="002239B5">
              <w:rPr>
                <w:color w:val="0000FF"/>
                <w:cs/>
              </w:rPr>
              <w:t xml:space="preserve"> </w:t>
            </w:r>
            <w:r w:rsidRPr="002239B5">
              <w:rPr>
                <w:color w:val="0000FF"/>
              </w:rPr>
              <w:t xml:space="preserve">Interest rate swap (IRS) </w:t>
            </w:r>
            <w:r w:rsidRPr="002239B5">
              <w:rPr>
                <w:rFonts w:hint="cs"/>
                <w:color w:val="0000FF"/>
                <w:cs/>
              </w:rPr>
              <w:t>และ</w:t>
            </w:r>
            <w:r w:rsidRPr="002239B5">
              <w:rPr>
                <w:color w:val="0000FF"/>
              </w:rPr>
              <w:t xml:space="preserve"> Cross currency swap (CCS) </w:t>
            </w:r>
            <w:r w:rsidRPr="002239B5">
              <w:rPr>
                <w:color w:val="0000FF"/>
                <w:cs/>
              </w:rPr>
              <w:t xml:space="preserve">แต่ละสกุลเงิน เช่น สกุลบาทอาจประกอบด้วย </w:t>
            </w:r>
            <w:r w:rsidRPr="002239B5">
              <w:rPr>
                <w:color w:val="0000FF"/>
              </w:rPr>
              <w:t xml:space="preserve">THBFIX THBIRS </w:t>
            </w:r>
            <w:r w:rsidRPr="002239B5">
              <w:rPr>
                <w:color w:val="0000FF"/>
                <w:cs/>
              </w:rPr>
              <w:t xml:space="preserve">และ </w:t>
            </w:r>
            <w:proofErr w:type="spellStart"/>
            <w:r w:rsidRPr="002239B5">
              <w:rPr>
                <w:color w:val="0000FF"/>
              </w:rPr>
              <w:t>THBSwapRate</w:t>
            </w:r>
            <w:proofErr w:type="spellEnd"/>
          </w:p>
        </w:tc>
      </w:tr>
      <w:tr w:rsidR="002239B5" w:rsidRPr="002239B5" w14:paraId="6B92955B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83224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Swap Curve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C60AA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เช่น ธุรกรรม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 THB ND-IRS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ซึ่งเป็นการแลกเปลี่ยนกระแสเงินสด ระหว่างอัตราดอกเบี้ยคงที่ และอัตราดอกเบี้ยลอยตัว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มีการ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ชำระส่วนต่างราคา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>USD</w:t>
            </w:r>
          </w:p>
        </w:tc>
      </w:tr>
      <w:tr w:rsidR="002239B5" w:rsidRPr="002239B5" w14:paraId="6D3E7A1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78C05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Tenor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7896D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ระหว่างช่วงเวลาของ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หลัก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THBBasis1m6m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 </w:t>
            </w:r>
            <w:r w:rsidRPr="002239B5">
              <w:rPr>
                <w:rFonts w:cs="Tahoma"/>
                <w:color w:val="0000FF"/>
                <w:lang w:val="en-US" w:eastAsia="en-US"/>
              </w:rPr>
              <w:t>THBBasis3m6m</w:t>
            </w:r>
          </w:p>
        </w:tc>
      </w:tr>
      <w:tr w:rsidR="002239B5" w:rsidRPr="002239B5" w14:paraId="58022B36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DF682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Cross Currency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AA797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against USD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>USDTHB CCS Basis</w:t>
            </w:r>
          </w:p>
        </w:tc>
      </w:tr>
      <w:tr w:rsidR="002239B5" w:rsidRPr="002239B5" w14:paraId="696928E3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4088D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Government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CD775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ของธุรกรรมตราสารหนี้ที่ออกโดยรัฐบาล</w:t>
            </w:r>
          </w:p>
        </w:tc>
      </w:tr>
      <w:tr w:rsidR="002239B5" w:rsidRPr="002239B5" w14:paraId="7CFEF4DD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528135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 Bond Curve (Credit Spread)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338195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Credit Spread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ของธุรกรรมตราสารหนี้ที่ผู้ออกไม่ใช่รัฐบาล</w:t>
            </w:r>
          </w:p>
        </w:tc>
      </w:tr>
      <w:tr w:rsidR="002239B5" w:rsidRPr="002239B5" w14:paraId="23A882CE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04BAE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B44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ซึ่งเกิดจากการรวมกันระหว่าง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มากกว่า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1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ประเภท เช่น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Swap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Basis Curve</w:t>
            </w:r>
          </w:p>
        </w:tc>
      </w:tr>
      <w:tr w:rsidR="002239B5" w:rsidRPr="002239B5" w14:paraId="777717E9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12AEDF59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BB09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อื่น ๆ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 Basis FDR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THB Basis MLR</w:t>
            </w:r>
          </w:p>
        </w:tc>
      </w:tr>
      <w:tr w:rsidR="002239B5" w:rsidRPr="002239B5" w14:paraId="0B15FD0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2EDD4CA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2FB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รวมที่ใช้หา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กรณีไม่ได้แยกคำนวณราย </w:t>
            </w:r>
            <w:r w:rsidRPr="002239B5">
              <w:rPr>
                <w:rFonts w:cs="Tahoma"/>
                <w:color w:val="0000FF"/>
                <w:lang w:val="en-US" w:eastAsia="en-US"/>
              </w:rPr>
              <w:t>Curve</w:t>
            </w:r>
          </w:p>
        </w:tc>
      </w:tr>
    </w:tbl>
    <w:p w14:paraId="65997738" w14:textId="77777777" w:rsidR="002239B5" w:rsidRPr="002239B5" w:rsidRDefault="002239B5" w:rsidP="002239B5">
      <w:pPr>
        <w:rPr>
          <w:color w:val="0000FF"/>
        </w:rPr>
      </w:pPr>
    </w:p>
    <w:p w14:paraId="7D3784D8" w14:textId="136135A6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ED725B9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5E2891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470DFA" w14:textId="5384D2AC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5" w:name="_Toc536175077"/>
            <w:bookmarkStart w:id="16" w:name="_Toc964898"/>
            <w:bookmarkStart w:id="17" w:name="_Toc3224260"/>
            <w:bookmarkStart w:id="18" w:name="_Toc4146681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Market Risk Factor Type</w:t>
            </w:r>
            <w:bookmarkEnd w:id="15"/>
            <w:bookmarkEnd w:id="16"/>
            <w:bookmarkEnd w:id="17"/>
            <w:bookmarkEnd w:id="18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F01EB7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4ECF22D7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2957471B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B787D06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8615719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6D45D31E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4F954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Aggregate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1F712E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  <w:cs/>
              </w:rPr>
              <w:t xml:space="preserve">ความเสี่ยงรวมหรือความเสี่ยงที่ไม่สามารถแยกประเภทความเสี่ยงได้ ซึ่งใช้สำหรับชุดข้อมูล </w:t>
            </w:r>
            <w:r w:rsidRPr="002239B5">
              <w:rPr>
                <w:color w:val="0000FF"/>
              </w:rPr>
              <w:t>VaR</w:t>
            </w:r>
          </w:p>
        </w:tc>
      </w:tr>
      <w:tr w:rsidR="002239B5" w:rsidRPr="002239B5" w14:paraId="2DE5E1B5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C104D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FX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33E9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ความเสี่ยงด้านอัตราแลกเปลี่ยน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3F181FF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1099F8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IR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2EFA84C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ความเสี่ยงด้านอัตราดอกเบี้ย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3C1741C3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8FDF1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Commodity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6F40D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ความเสี่ยงด้านราคาสินค้าโภคภัณฑ์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42FFA36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29E98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Equity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CB155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ความเสี่ยงด้านราคาตราสารทุน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564CCA6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2D2BC4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F4ED9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11F766F4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FE6D05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A9463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ความเสี่ยงที่ไม่สามารถแยกประเภทความเสี่ยงได้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ตาม </w:t>
            </w:r>
            <w:r w:rsidRPr="002239B5">
              <w:rPr>
                <w:rFonts w:cs="Tahoma"/>
                <w:color w:val="0000FF"/>
                <w:lang w:val="en-US" w:eastAsia="en-US"/>
              </w:rPr>
              <w:t>Market Risk Factor Type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  <w:tr w:rsidR="002239B5" w:rsidRPr="002239B5" w14:paraId="541A3F0D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B35505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71DA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ความเสี่ยงรวมของค่า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 ซึ่งใช้สำหรับชุดข้อมูล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</w:tr>
    </w:tbl>
    <w:p w14:paraId="1353EAAA" w14:textId="77777777" w:rsidR="00D032D7" w:rsidRPr="002239B5" w:rsidRDefault="00D032D7">
      <w:pPr>
        <w:rPr>
          <w:color w:val="0000FF"/>
          <w:cs/>
        </w:rPr>
      </w:pPr>
    </w:p>
    <w:p w14:paraId="335CF894" w14:textId="77777777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B8E07E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0EF96" w14:textId="78280BE3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426BB" w14:textId="3D29C2D6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9" w:name="_Toc536175075"/>
            <w:bookmarkStart w:id="20" w:name="_Toc964896"/>
            <w:bookmarkStart w:id="21" w:name="_Toc3224261"/>
            <w:bookmarkStart w:id="22" w:name="_Toc4146682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Risk Value Type</w:t>
            </w:r>
            <w:bookmarkEnd w:id="19"/>
            <w:bookmarkEnd w:id="20"/>
            <w:bookmarkEnd w:id="21"/>
            <w:bookmarkEnd w:id="22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EBA95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D88E6A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A15CE2E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804E32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E8AB38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658974BE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93A4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Limit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295AB3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  <w:cs/>
              </w:rPr>
              <w:t xml:space="preserve">ค่า </w:t>
            </w:r>
            <w:r w:rsidRPr="002239B5">
              <w:rPr>
                <w:color w:val="0000FF"/>
              </w:rPr>
              <w:t xml:space="preserve">Limit </w:t>
            </w:r>
            <w:r w:rsidRPr="002239B5">
              <w:rPr>
                <w:color w:val="0000FF"/>
                <w:cs/>
              </w:rPr>
              <w:t xml:space="preserve">ของชุดข้อมูล </w:t>
            </w:r>
            <w:r w:rsidRPr="002239B5">
              <w:rPr>
                <w:color w:val="0000FF"/>
              </w:rPr>
              <w:t xml:space="preserve">VaR, Greek </w:t>
            </w:r>
            <w:r w:rsidRPr="002239B5">
              <w:rPr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>IR PV01</w:t>
            </w:r>
          </w:p>
        </w:tc>
      </w:tr>
      <w:tr w:rsidR="002239B5" w:rsidRPr="002239B5" w14:paraId="6E456B08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55096A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Actual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AF971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Actual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ของชุดข้อมูล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VaR, Greek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IR PV01</w:t>
            </w:r>
          </w:p>
        </w:tc>
      </w:tr>
    </w:tbl>
    <w:p w14:paraId="1CA54405" w14:textId="2DB9C114" w:rsidR="002239B5" w:rsidRPr="002239B5" w:rsidRDefault="002239B5">
      <w:pPr>
        <w:rPr>
          <w:color w:val="0000FF"/>
        </w:rPr>
      </w:pPr>
    </w:p>
    <w:p w14:paraId="28745531" w14:textId="77777777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7F470A" w:rsidRPr="00085B0E" w14:paraId="599B449B" w14:textId="77777777" w:rsidTr="00D8531A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DE0C9" w14:textId="10B91C03" w:rsidR="007F470A" w:rsidRPr="00085B0E" w:rsidRDefault="007F470A" w:rsidP="00D8531A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55410" w14:textId="41CD9A9B" w:rsidR="007F470A" w:rsidRPr="00085B0E" w:rsidRDefault="007F470A" w:rsidP="007F47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3" w:name="_Toc959106"/>
            <w:bookmarkStart w:id="24" w:name="_Toc4146683"/>
            <w:r w:rsidRPr="007F470A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Target Type</w:t>
            </w:r>
            <w:bookmarkEnd w:id="23"/>
            <w:bookmarkEnd w:id="2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A6C9DF" w14:textId="77777777" w:rsidR="007F470A" w:rsidRPr="00085B0E" w:rsidRDefault="007F470A" w:rsidP="00D8531A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DC73B09" w14:textId="77777777" w:rsidR="00A656F6" w:rsidRDefault="00A656F6" w:rsidP="000108A0">
      <w:pPr>
        <w:rPr>
          <w:color w:val="000000" w:themeColor="text1"/>
        </w:rPr>
      </w:pPr>
    </w:p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A2402C" w:rsidRPr="00050950" w14:paraId="49C2C9AB" w14:textId="77777777" w:rsidTr="00187DCA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EC3BDBC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65298F6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2402C" w:rsidRPr="00050950" w14:paraId="42335A0D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F76B8" w14:textId="7BF284A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total loans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A4343" w14:textId="718ABEA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เป้าหมายการขยายสินเชื่อรวม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6524670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2701A" w14:textId="21D7AB1C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Corporate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6364F2" w14:textId="45254414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Corporate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3F346F6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91BD47" w14:textId="58392828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SMEs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17340C" w14:textId="48C3391F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SMEs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4D7C9E0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A1867F" w14:textId="23C678F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Retail loans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B1A110" w14:textId="109C1B7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Retail</w:t>
            </w:r>
          </w:p>
        </w:tc>
      </w:tr>
      <w:tr w:rsidR="00A2402C" w:rsidRPr="00050950" w14:paraId="59B83FE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6793C" w14:textId="15B1C8A4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25C9B7" w14:textId="5F52B4A6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เป้าหมายการขยายสินเชื่อเช่าซื้อ</w:t>
            </w:r>
          </w:p>
        </w:tc>
      </w:tr>
      <w:tr w:rsidR="00A2402C" w:rsidRPr="00050950" w14:paraId="08E5256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96E1F" w14:textId="538828C2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25AE1" w14:textId="0EAEE142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เป้าหมายการขยายสินเชื่อที่อยู่อาศัย</w:t>
            </w:r>
          </w:p>
        </w:tc>
      </w:tr>
      <w:tr w:rsidR="00A2402C" w:rsidRPr="00050950" w14:paraId="114CEBC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D7EA8E" w14:textId="368858E5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4E2E24" w14:textId="362DCD6A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เป้าหมายการขยายสินเชื่อบัตรเครดิต</w:t>
            </w:r>
          </w:p>
        </w:tc>
      </w:tr>
      <w:tr w:rsidR="00A2402C" w:rsidRPr="00050950" w14:paraId="07756F7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86374" w14:textId="1243D340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EC2C8A" w14:textId="4353BAF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เป้าหมายการขยายสินเชื่อส่วนบุคคล</w:t>
            </w:r>
          </w:p>
        </w:tc>
      </w:tr>
      <w:tr w:rsidR="00A2402C" w:rsidRPr="00050950" w14:paraId="6DEC4EB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C6A7F7" w14:textId="101AC3C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Deposit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26B4A1" w14:textId="72810311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เป้าหมายการขยายเงินรับฝาก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5B0F3CA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BD48CF" w14:textId="0DE8E192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9EF44E" w14:textId="414857D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เป้าหมายเงินกู้ยืม </w:t>
            </w:r>
            <w:r w:rsidRPr="00155E0C">
              <w:rPr>
                <w:color w:val="000000" w:themeColor="text1"/>
              </w:rPr>
              <w:t>Interbank</w:t>
            </w:r>
          </w:p>
        </w:tc>
      </w:tr>
      <w:tr w:rsidR="00A2402C" w:rsidRPr="00050950" w14:paraId="118E10E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BC1C4" w14:textId="1D484E9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 xml:space="preserve">wth Borrowing 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>(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>excluded Interbank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3274A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="0083274A"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B53A66" w14:textId="33A30CC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เป้าหมายเงินกู้ยืม</w:t>
            </w:r>
            <w:r w:rsidR="0083274A">
              <w:rPr>
                <w:rFonts w:hint="cs"/>
                <w:color w:val="000000" w:themeColor="text1"/>
                <w:cs/>
              </w:rPr>
              <w:t xml:space="preserve">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</w:t>
            </w:r>
            <w:r w:rsidR="0083274A">
              <w:rPr>
                <w:color w:val="000000" w:themeColor="text1"/>
              </w:rPr>
              <w:t>)</w:t>
            </w:r>
          </w:p>
        </w:tc>
      </w:tr>
      <w:tr w:rsidR="00A2402C" w:rsidRPr="00050950" w14:paraId="4190847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9A2A5" w14:textId="6DD5069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Non interest income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F163DA" w14:textId="325E8E1D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เป้าหมายรายได้ที่ไม่ใช่ดอกเบี้ย (</w:t>
            </w:r>
            <w:r w:rsidRPr="00155E0C">
              <w:rPr>
                <w:color w:val="000000" w:themeColor="text1"/>
              </w:rPr>
              <w:t>Non NII)</w:t>
            </w:r>
          </w:p>
        </w:tc>
      </w:tr>
      <w:tr w:rsidR="00A2402C" w:rsidRPr="00050950" w14:paraId="0FF360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7B9A5" w14:textId="6669400D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D9ADF5" w14:textId="40B7C859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เป้าหมายรายได้ค่าธรรมเนียม</w:t>
            </w:r>
          </w:p>
        </w:tc>
      </w:tr>
      <w:tr w:rsidR="00A2402C" w:rsidRPr="00050950" w14:paraId="631D6C7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FC83E2" w14:textId="243EC44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5C25A8" w14:textId="14C09E5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155E0C">
              <w:rPr>
                <w:color w:val="000000" w:themeColor="text1"/>
              </w:rPr>
              <w:t>Cost to Income (%)</w:t>
            </w:r>
          </w:p>
        </w:tc>
      </w:tr>
      <w:tr w:rsidR="00A2402C" w:rsidRPr="00050950" w14:paraId="4DCC629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42C36" w14:textId="0242B8BC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80E48A" w14:textId="47832649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เป้าหมายกำไร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(ขาดทุน)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สุทธิ</w:t>
            </w:r>
          </w:p>
        </w:tc>
      </w:tr>
      <w:tr w:rsidR="00A2402C" w:rsidRPr="00050950" w14:paraId="6285861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378604" w14:textId="16FDE03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lastRenderedPageBreak/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1CFF93" w14:textId="75A4FF33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8A38C2">
              <w:rPr>
                <w:color w:val="0000FF"/>
              </w:rPr>
              <w:t>Gross Non-performing Loans)</w:t>
            </w:r>
          </w:p>
        </w:tc>
      </w:tr>
      <w:tr w:rsidR="00A2402C" w:rsidRPr="00050950" w14:paraId="5235731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A715E1" w14:textId="248E9B4F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FF3F8A" w14:textId="07254177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8A38C2">
              <w:rPr>
                <w:color w:val="0000FF"/>
              </w:rPr>
              <w:t>Net Non-performing Loans)</w:t>
            </w:r>
          </w:p>
        </w:tc>
      </w:tr>
      <w:tr w:rsidR="00A2402C" w:rsidRPr="00050950" w14:paraId="2CC1136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37B05C" w14:textId="649C7DF8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75AED6" w14:textId="25CC1B0A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Net Interest Margin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559812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A71530" w14:textId="62998761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E4AB9A" w14:textId="1A63A41D" w:rsidR="00A2402C" w:rsidRPr="00050950" w:rsidRDefault="00B52C80" w:rsidP="00A240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</w:t>
            </w:r>
            <w:r w:rsidR="008A38C2" w:rsidRPr="008A38C2">
              <w:rPr>
                <w:color w:val="000000" w:themeColor="text1"/>
                <w:cs/>
              </w:rPr>
              <w:t xml:space="preserve">ป้าหมายอัตราส่วน </w:t>
            </w:r>
            <w:r w:rsidR="008A38C2" w:rsidRPr="008A38C2">
              <w:rPr>
                <w:color w:val="0000FF"/>
              </w:rPr>
              <w:t xml:space="preserve">Return on Asset </w:t>
            </w:r>
            <w:r w:rsidR="008A38C2"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13EAA12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45D3C" w14:textId="0D60AA4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</w:t>
            </w:r>
            <w:r w:rsidR="00F4687B" w:rsidRPr="00155E0C">
              <w:rPr>
                <w:rFonts w:cs="Tahoma"/>
                <w:color w:val="000000" w:themeColor="text1"/>
                <w:lang w:val="en-US" w:eastAsia="en-US"/>
              </w:rPr>
              <w:t>R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WA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898CC9" w14:textId="429208C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Risk Weighted Asset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27FC3F3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B317FE" w14:textId="06208AE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AC1DB4" w14:textId="698D1AA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Equity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6E3B86D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6CE249" w14:textId="297EABD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31C410" w14:textId="4312C4B1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เป้าหมายเงินกองทุนตามกฎหมาย</w:t>
            </w:r>
          </w:p>
        </w:tc>
      </w:tr>
      <w:tr w:rsidR="00A2402C" w:rsidRPr="00050950" w14:paraId="744D241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0EF739B" w14:textId="7B93601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2E378" w14:textId="02548134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>เป้าหมายอัตราส่วนเงินกองทุนต่อสินทรัพย์เสี่ยง</w:t>
            </w:r>
            <w:r w:rsidRPr="008A38C2">
              <w:rPr>
                <w:color w:val="0000FF"/>
                <w:cs/>
              </w:rPr>
              <w:t xml:space="preserve">ก่อนหักเงินกองทุนส่วนเพิ่มเพื่อรองรับการให้สินเชื่อแก่ลูกหนี้รายใหญ่ </w:t>
            </w:r>
            <w:r w:rsidRPr="008A38C2">
              <w:rPr>
                <w:color w:val="000000" w:themeColor="text1"/>
                <w:cs/>
              </w:rPr>
              <w:t>(%)</w:t>
            </w:r>
          </w:p>
        </w:tc>
      </w:tr>
    </w:tbl>
    <w:p w14:paraId="088F9876" w14:textId="6E852136" w:rsidR="00682F16" w:rsidRPr="00056751" w:rsidRDefault="00682F16" w:rsidP="002B26CB">
      <w:pPr>
        <w:spacing w:before="240"/>
        <w:rPr>
          <w:rFonts w:eastAsia="Calibri"/>
        </w:rPr>
      </w:pPr>
      <w:r w:rsidRPr="00056751">
        <w:rPr>
          <w:rFonts w:eastAsia="Calibri" w:hint="cs"/>
          <w:cs/>
        </w:rPr>
        <w:t>หมายเหตุ</w:t>
      </w:r>
      <w:r w:rsidR="00801C86">
        <w:rPr>
          <w:rFonts w:eastAsia="Calibri"/>
        </w:rPr>
        <w:t>:</w:t>
      </w:r>
    </w:p>
    <w:p w14:paraId="7AE959B5" w14:textId="593D59A1" w:rsidR="00D318F3" w:rsidRPr="008A38C2" w:rsidRDefault="00D318F3" w:rsidP="00D318F3">
      <w:pPr>
        <w:spacing w:before="120"/>
        <w:ind w:left="270" w:hanging="270"/>
        <w:rPr>
          <w:rFonts w:eastAsia="Calibri"/>
          <w:color w:val="0000FF"/>
        </w:rPr>
      </w:pPr>
      <w:r w:rsidRPr="000A5E5B">
        <w:rPr>
          <w:rFonts w:eastAsia="Calibri"/>
          <w:vertAlign w:val="superscript"/>
        </w:rPr>
        <w:t>1/</w:t>
      </w:r>
      <w:r w:rsidRPr="00D318F3">
        <w:rPr>
          <w:rFonts w:eastAsia="Calibri"/>
        </w:rPr>
        <w:t xml:space="preserve"> Interbank </w:t>
      </w:r>
      <w:r w:rsidRPr="00D318F3">
        <w:rPr>
          <w:rFonts w:eastAsia="Calibri"/>
          <w:cs/>
        </w:rPr>
        <w:t>หมายถึง</w:t>
      </w:r>
      <w:r w:rsidR="008A38C2">
        <w:rPr>
          <w:rFonts w:eastAsia="Calibri"/>
        </w:rPr>
        <w:t xml:space="preserve"> </w:t>
      </w:r>
      <w:r w:rsidR="008A38C2" w:rsidRPr="008A38C2">
        <w:rPr>
          <w:rFonts w:eastAsia="Calibri"/>
          <w:color w:val="0000FF"/>
          <w:cs/>
        </w:rPr>
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</w:r>
    </w:p>
    <w:p w14:paraId="65236A8A" w14:textId="77777777" w:rsidR="00D318F3" w:rsidRPr="00D318F3" w:rsidRDefault="00D318F3" w:rsidP="00D318F3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2/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 xml:space="preserve">โปรดระบุคำจำกัดความสินเชื่อ </w:t>
      </w:r>
      <w:proofErr w:type="gramStart"/>
      <w:r w:rsidRPr="00D318F3">
        <w:rPr>
          <w:rFonts w:eastAsia="Calibri"/>
        </w:rPr>
        <w:t>Corporate  SMEs</w:t>
      </w:r>
      <w:proofErr w:type="gramEnd"/>
      <w:r w:rsidRPr="00D318F3">
        <w:rPr>
          <w:rFonts w:eastAsia="Calibri"/>
        </w:rPr>
        <w:t xml:space="preserve">  Retail  </w:t>
      </w:r>
      <w:r w:rsidRPr="00D318F3">
        <w:rPr>
          <w:rFonts w:eastAsia="Calibri"/>
          <w:cs/>
        </w:rPr>
        <w:t xml:space="preserve">และ </w:t>
      </w:r>
      <w:r w:rsidRPr="00D318F3">
        <w:rPr>
          <w:rFonts w:eastAsia="Calibri"/>
        </w:rPr>
        <w:t xml:space="preserve">Non Interest income </w:t>
      </w:r>
      <w:r w:rsidRPr="00D318F3">
        <w:rPr>
          <w:rFonts w:eastAsia="Calibri"/>
          <w:cs/>
        </w:rPr>
        <w:t xml:space="preserve">ตามคำจำกัดความของสถาบันการเงิน </w:t>
      </w:r>
    </w:p>
    <w:p w14:paraId="3972A6DB" w14:textId="5D719438" w:rsidR="002239B5" w:rsidRDefault="00D318F3" w:rsidP="00187DCA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3/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>อัตราส่วนกำไร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(ขาดทุน)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สุทธิ ต่อสินทรัพย์เสี่ยง</w:t>
      </w:r>
      <w:r w:rsidR="008A38C2" w:rsidRPr="008A38C2">
        <w:rPr>
          <w:rFonts w:eastAsia="Calibri"/>
          <w:color w:val="0000FF"/>
          <w:cs/>
        </w:rPr>
        <w:t>ด้านเครดิต ตลาด และมูลค่าเทียบเท่าสินทรัพย์เสี่ยงด้านปฏิบัติการ</w:t>
      </w:r>
    </w:p>
    <w:p w14:paraId="3310A59B" w14:textId="4DE3CB03" w:rsidR="002239B5" w:rsidRDefault="002239B5">
      <w:pPr>
        <w:rPr>
          <w:rFonts w:eastAsia="Calibri"/>
        </w:rPr>
      </w:pPr>
      <w:r>
        <w:rPr>
          <w:rFonts w:eastAsia="Calibri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CF23C6B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BE3DB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1150F" w14:textId="60A08D9F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5" w:name="_Toc536175076"/>
            <w:bookmarkStart w:id="26" w:name="_Toc964897"/>
            <w:bookmarkStart w:id="27" w:name="_Toc3224262"/>
            <w:bookmarkStart w:id="28" w:name="_Toc4146684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 Approach</w:t>
            </w:r>
            <w:bookmarkEnd w:id="25"/>
            <w:bookmarkEnd w:id="26"/>
            <w:bookmarkEnd w:id="27"/>
            <w:bookmarkEnd w:id="28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1CBBF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404D37F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AB25C70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832AE70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5AEFE7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4655F0FC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9127A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AA178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</w:tr>
      <w:tr w:rsidR="002239B5" w:rsidRPr="002239B5" w14:paraId="7726C86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0AC3F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0BF0E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</w:tr>
      <w:tr w:rsidR="002239B5" w:rsidRPr="002239B5" w14:paraId="122B9F3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E21CF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7ED12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</w:tr>
      <w:tr w:rsidR="002239B5" w:rsidRPr="002239B5" w14:paraId="0CA1DFAF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86C76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D75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โดยใช้วิธีอื่น ๆ</w:t>
            </w:r>
          </w:p>
        </w:tc>
      </w:tr>
    </w:tbl>
    <w:p w14:paraId="390EE855" w14:textId="77777777" w:rsidR="002239B5" w:rsidRPr="002239B5" w:rsidRDefault="002239B5" w:rsidP="002239B5">
      <w:pPr>
        <w:rPr>
          <w:color w:val="0000FF"/>
        </w:rPr>
      </w:pPr>
    </w:p>
    <w:p w14:paraId="0BF3E1B8" w14:textId="77777777" w:rsidR="002239B5" w:rsidRPr="002239B5" w:rsidRDefault="002239B5" w:rsidP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2AD1AC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70558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4CEF8" w14:textId="77777777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9" w:name="_Toc3224263"/>
            <w:bookmarkStart w:id="30" w:name="_Toc4146685"/>
            <w:proofErr w:type="spellStart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Type</w:t>
            </w:r>
            <w:bookmarkEnd w:id="29"/>
            <w:bookmarkEnd w:id="3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84DD4E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  <w:highlight w:val="yellow"/>
              </w:rPr>
            </w:pPr>
          </w:p>
        </w:tc>
      </w:tr>
    </w:tbl>
    <w:p w14:paraId="6EBAB99A" w14:textId="77777777" w:rsidR="002239B5" w:rsidRPr="002239B5" w:rsidRDefault="002239B5" w:rsidP="002239B5">
      <w:pPr>
        <w:rPr>
          <w:color w:val="0000FF"/>
          <w:highlight w:val="yellow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1760B1B6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C6F4E8C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24FF3E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5B523DD1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38E51D4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General Market Risk Factor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E6337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ได้แก่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Aggregate, FX, IR, Commodity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Equity </w:t>
            </w:r>
          </w:p>
        </w:tc>
      </w:tr>
      <w:tr w:rsidR="002239B5" w:rsidRPr="002239B5" w14:paraId="532623C3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1A5AF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 Market Risk Factor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214A2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อื่น ๆ</w:t>
            </w:r>
          </w:p>
        </w:tc>
      </w:tr>
      <w:tr w:rsidR="002239B5" w:rsidRPr="002239B5" w14:paraId="50EEC9C9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36E43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Trading Desk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DD7C1A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VaR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โต๊ะที่ทำธุรกรรม</w:t>
            </w:r>
          </w:p>
        </w:tc>
      </w:tr>
    </w:tbl>
    <w:p w14:paraId="73C003C6" w14:textId="77777777" w:rsidR="002239B5" w:rsidRPr="002239B5" w:rsidRDefault="002239B5" w:rsidP="002239B5">
      <w:pPr>
        <w:rPr>
          <w:color w:val="0000FF"/>
        </w:rPr>
      </w:pPr>
    </w:p>
    <w:p w14:paraId="36F0196B" w14:textId="77777777" w:rsidR="00D318F3" w:rsidRPr="002239B5" w:rsidRDefault="00D318F3" w:rsidP="002239B5">
      <w:pPr>
        <w:rPr>
          <w:rFonts w:eastAsia="Calibri"/>
          <w:color w:val="0000FF"/>
        </w:rPr>
      </w:pPr>
    </w:p>
    <w:sectPr w:rsidR="00D318F3" w:rsidRPr="002239B5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7B2A7" w14:textId="77777777" w:rsidR="00D27F19" w:rsidRDefault="00D27F19" w:rsidP="000108A0">
      <w:r>
        <w:separator/>
      </w:r>
    </w:p>
  </w:endnote>
  <w:endnote w:type="continuationSeparator" w:id="0">
    <w:p w14:paraId="4C6A48B1" w14:textId="77777777" w:rsidR="00D27F19" w:rsidRDefault="00D27F1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C47EEE" w:rsidRDefault="00187DCA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11189F54" w14:textId="30DCF80C" w:rsidR="00C47EEE" w:rsidRDefault="002B4A1A" w:rsidP="00682F16">
                          <w:pPr>
                            <w:spacing w:before="120"/>
                            <w:jc w:val="right"/>
                          </w:pPr>
                          <w:r>
                            <w:t>Risk Management</w:t>
                          </w:r>
                          <w:r w:rsidR="00682F16">
                            <w:t xml:space="preserve"> Classification Document Version</w:t>
                          </w:r>
                          <w:r w:rsidR="00682F16" w:rsidRPr="00ED2354">
                            <w:t xml:space="preserve"> </w:t>
                          </w:r>
                          <w:r w:rsidR="002239B5">
                            <w:t>1.1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11189F54" w14:textId="30DCF80C" w:rsidR="00C47EEE" w:rsidRDefault="002B4A1A" w:rsidP="00682F16">
                    <w:pPr>
                      <w:spacing w:before="120"/>
                      <w:jc w:val="right"/>
                    </w:pPr>
                    <w:r>
                      <w:t>Risk Management</w:t>
                    </w:r>
                    <w:r w:rsidR="00682F16">
                      <w:t xml:space="preserve"> Classification Document Version</w:t>
                    </w:r>
                    <w:r w:rsidR="00682F16" w:rsidRPr="00ED2354">
                      <w:t xml:space="preserve"> </w:t>
                    </w:r>
                    <w:r w:rsidR="002239B5">
                      <w:t>1.1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4E47F1" w:rsidRPr="004E47F1">
      <w:rPr>
        <w:b/>
        <w:noProof/>
      </w:rPr>
      <w:t>13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C47EEE" w:rsidRDefault="00187DC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73615219" w14:textId="2C8685E7" w:rsidR="00C47EEE" w:rsidRDefault="000074A3" w:rsidP="000108A0">
                          <w:pPr>
                            <w:spacing w:before="120"/>
                            <w:jc w:val="right"/>
                          </w:pPr>
                          <w:r>
                            <w:t>R</w:t>
                          </w:r>
                          <w:r w:rsidR="002B4A1A">
                            <w:t>isk Management</w:t>
                          </w:r>
                          <w:r>
                            <w:t xml:space="preserve"> C</w:t>
                          </w:r>
                          <w:r w:rsidR="00C47EEE">
                            <w:t>lassification Document Version</w:t>
                          </w:r>
                          <w:r w:rsidR="00C47EEE"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C47EEE">
                            <w:t>.</w:t>
                          </w:r>
                          <w:r w:rsidR="002239B5" w:rsidRPr="002239B5">
                            <w:t>1</w:t>
                          </w:r>
                          <w:r w:rsidR="00C47EEE" w:rsidRPr="002239B5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73615219" w14:textId="2C8685E7" w:rsidR="00C47EEE" w:rsidRDefault="000074A3" w:rsidP="000108A0">
                    <w:pPr>
                      <w:spacing w:before="120"/>
                      <w:jc w:val="right"/>
                    </w:pPr>
                    <w:r>
                      <w:t>R</w:t>
                    </w:r>
                    <w:r w:rsidR="002B4A1A">
                      <w:t>isk Management</w:t>
                    </w:r>
                    <w:r>
                      <w:t xml:space="preserve"> C</w:t>
                    </w:r>
                    <w:r w:rsidR="00C47EEE">
                      <w:t>lassification Document Version</w:t>
                    </w:r>
                    <w:r w:rsidR="00C47EEE" w:rsidRPr="00ED2354">
                      <w:t xml:space="preserve"> </w:t>
                    </w:r>
                    <w:r w:rsidR="00450527">
                      <w:t>1</w:t>
                    </w:r>
                    <w:r w:rsidR="00C47EEE">
                      <w:t>.</w:t>
                    </w:r>
                    <w:r w:rsidR="002239B5" w:rsidRPr="002239B5">
                      <w:t>1</w:t>
                    </w:r>
                    <w:r w:rsidR="00C47EEE" w:rsidRPr="002239B5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Jwg4r&#10;3QAAAAkBAAAPAAAAAAAAAAAAAAAAABMFAABkcnMvZG93bnJldi54bWxQSwUGAAAAAAQABADzAAAA&#10;HQYAAAAA&#10;" filled="f" stroked="f">
              <v:textbox>
                <w:txbxContent>
                  <w:p w14:paraId="094FC04E" w14:textId="77777777"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5F37B" w14:textId="77777777" w:rsidR="00D27F19" w:rsidRDefault="00D27F19" w:rsidP="000108A0">
      <w:r>
        <w:separator/>
      </w:r>
    </w:p>
  </w:footnote>
  <w:footnote w:type="continuationSeparator" w:id="0">
    <w:p w14:paraId="2F18865C" w14:textId="77777777" w:rsidR="00D27F19" w:rsidRDefault="00D27F1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3948B357" w:rsidR="00C47EEE" w:rsidRDefault="00187DC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6084F97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DCA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 w:rsidR="00FF7F09"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49582700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 w:rsidR="00A656F6"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4F24A5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6751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5E5B"/>
    <w:rsid w:val="000A68ED"/>
    <w:rsid w:val="000A7427"/>
    <w:rsid w:val="000B2DE9"/>
    <w:rsid w:val="000B3E6D"/>
    <w:rsid w:val="000B71AD"/>
    <w:rsid w:val="000C45D0"/>
    <w:rsid w:val="000C4E22"/>
    <w:rsid w:val="000C7E79"/>
    <w:rsid w:val="000D1106"/>
    <w:rsid w:val="000D2DA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3E8E"/>
    <w:rsid w:val="0019750A"/>
    <w:rsid w:val="001A0846"/>
    <w:rsid w:val="001A1CE1"/>
    <w:rsid w:val="001B1BB8"/>
    <w:rsid w:val="001B79D2"/>
    <w:rsid w:val="001C3CC1"/>
    <w:rsid w:val="001C4FAF"/>
    <w:rsid w:val="001C56DE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39B5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26CB"/>
    <w:rsid w:val="002B4108"/>
    <w:rsid w:val="002B4A1A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438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235E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77"/>
    <w:rsid w:val="0047498B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45C"/>
    <w:rsid w:val="004D7B0D"/>
    <w:rsid w:val="004E2C8F"/>
    <w:rsid w:val="004E37A3"/>
    <w:rsid w:val="004E47F1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2F16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D74EF"/>
    <w:rsid w:val="007E1001"/>
    <w:rsid w:val="007E2A8E"/>
    <w:rsid w:val="007E3239"/>
    <w:rsid w:val="007E4BE3"/>
    <w:rsid w:val="007E5636"/>
    <w:rsid w:val="007F0E04"/>
    <w:rsid w:val="007F3D6D"/>
    <w:rsid w:val="007F42C9"/>
    <w:rsid w:val="007F470A"/>
    <w:rsid w:val="007F7768"/>
    <w:rsid w:val="00801C86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7106"/>
    <w:rsid w:val="0083274A"/>
    <w:rsid w:val="0083279D"/>
    <w:rsid w:val="008360C8"/>
    <w:rsid w:val="0083688D"/>
    <w:rsid w:val="00840BED"/>
    <w:rsid w:val="0084525B"/>
    <w:rsid w:val="0084679E"/>
    <w:rsid w:val="00846C93"/>
    <w:rsid w:val="008510BD"/>
    <w:rsid w:val="00852673"/>
    <w:rsid w:val="00853FC8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38C2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FAD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AF552D"/>
    <w:rsid w:val="00B02F5F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518A4"/>
    <w:rsid w:val="00B52C80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1284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576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2D7"/>
    <w:rsid w:val="00D0342D"/>
    <w:rsid w:val="00D059CB"/>
    <w:rsid w:val="00D06690"/>
    <w:rsid w:val="00D1224D"/>
    <w:rsid w:val="00D14074"/>
    <w:rsid w:val="00D21E6F"/>
    <w:rsid w:val="00D25B09"/>
    <w:rsid w:val="00D27320"/>
    <w:rsid w:val="00D27F19"/>
    <w:rsid w:val="00D318F3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0D1106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2B26C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0ff0205-9775-4d11-817e-13aacec916c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1D6458D-44EF-4BCE-AC17-2D769F3D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13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อภิชญา ปธานวนิช</cp:lastModifiedBy>
  <cp:revision>26</cp:revision>
  <cp:lastPrinted>2019-03-04T13:32:00Z</cp:lastPrinted>
  <dcterms:created xsi:type="dcterms:W3CDTF">2019-02-27T12:56:00Z</dcterms:created>
  <dcterms:modified xsi:type="dcterms:W3CDTF">2019-03-22T04:31:00Z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